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91DCF1" w14:textId="77777777" w:rsidR="006E30DE" w:rsidRDefault="00890019">
      <w:pPr>
        <w:jc w:val="center"/>
        <w:rPr>
          <w:rFonts w:asciiTheme="majorBidi" w:hAnsiTheme="majorBidi" w:cstheme="majorBidi"/>
          <w:sz w:val="24"/>
          <w:szCs w:val="24"/>
        </w:rPr>
      </w:pPr>
      <w:r>
        <w:rPr>
          <w:rFonts w:asciiTheme="majorBidi" w:hAnsiTheme="majorBidi" w:cstheme="majorBidi"/>
          <w:sz w:val="24"/>
          <w:szCs w:val="24"/>
        </w:rPr>
        <w:t>RUU KUHP</w:t>
      </w:r>
    </w:p>
    <w:p w14:paraId="5BD5DCB8" w14:textId="77777777" w:rsidR="006E30DE" w:rsidRDefault="006E30DE">
      <w:pPr>
        <w:rPr>
          <w:rFonts w:asciiTheme="majorBidi" w:hAnsiTheme="majorBidi" w:cstheme="majorBidi"/>
          <w:sz w:val="24"/>
          <w:szCs w:val="24"/>
        </w:rPr>
      </w:pPr>
    </w:p>
    <w:p w14:paraId="36817083" w14:textId="77777777" w:rsidR="006E30DE" w:rsidRDefault="00915FC1" w:rsidP="00915FC1">
      <w:pPr>
        <w:jc w:val="center"/>
        <w:rPr>
          <w:rFonts w:ascii="Times New Roman" w:hAnsi="Times New Roman" w:cs="Times New Roman"/>
          <w:b/>
          <w:sz w:val="24"/>
          <w:szCs w:val="24"/>
          <w:lang w:val="id-ID"/>
        </w:rPr>
      </w:pPr>
      <w:r>
        <w:rPr>
          <w:rFonts w:ascii="Times New Roman" w:hAnsi="Times New Roman" w:cs="Times New Roman"/>
          <w:b/>
          <w:sz w:val="24"/>
          <w:szCs w:val="24"/>
        </w:rPr>
        <w:t xml:space="preserve">Kontradiksi RUU KUHP dengan </w:t>
      </w:r>
      <w:r>
        <w:rPr>
          <w:rFonts w:ascii="Times New Roman" w:hAnsi="Times New Roman" w:cs="Times New Roman"/>
          <w:b/>
          <w:sz w:val="24"/>
          <w:szCs w:val="24"/>
          <w:lang w:val="id-ID"/>
        </w:rPr>
        <w:t>U</w:t>
      </w:r>
      <w:r w:rsidRPr="00915FC1">
        <w:rPr>
          <w:rFonts w:ascii="Times New Roman" w:hAnsi="Times New Roman" w:cs="Times New Roman"/>
          <w:b/>
          <w:sz w:val="24"/>
          <w:szCs w:val="24"/>
        </w:rPr>
        <w:t>rgensi Peran Pen</w:t>
      </w:r>
      <w:r>
        <w:rPr>
          <w:rFonts w:ascii="Times New Roman" w:hAnsi="Times New Roman" w:cs="Times New Roman"/>
          <w:b/>
          <w:sz w:val="24"/>
          <w:szCs w:val="24"/>
        </w:rPr>
        <w:t xml:space="preserve">damping Penyandang Disabilitas </w:t>
      </w:r>
      <w:r>
        <w:rPr>
          <w:rFonts w:ascii="Times New Roman" w:hAnsi="Times New Roman" w:cs="Times New Roman"/>
          <w:b/>
          <w:sz w:val="24"/>
          <w:szCs w:val="24"/>
          <w:lang w:val="id-ID"/>
        </w:rPr>
        <w:t>d</w:t>
      </w:r>
      <w:r w:rsidRPr="00915FC1">
        <w:rPr>
          <w:rFonts w:ascii="Times New Roman" w:hAnsi="Times New Roman" w:cs="Times New Roman"/>
          <w:b/>
          <w:sz w:val="24"/>
          <w:szCs w:val="24"/>
        </w:rPr>
        <w:t>alam Sosialisa</w:t>
      </w:r>
      <w:r>
        <w:rPr>
          <w:rFonts w:ascii="Times New Roman" w:hAnsi="Times New Roman" w:cs="Times New Roman"/>
          <w:b/>
          <w:sz w:val="24"/>
          <w:szCs w:val="24"/>
        </w:rPr>
        <w:t xml:space="preserve">si Penggunaan Alat Kontrasepsi </w:t>
      </w:r>
      <w:r>
        <w:rPr>
          <w:rFonts w:ascii="Times New Roman" w:hAnsi="Times New Roman" w:cs="Times New Roman"/>
          <w:b/>
          <w:sz w:val="24"/>
          <w:szCs w:val="24"/>
          <w:lang w:val="id-ID"/>
        </w:rPr>
        <w:t>s</w:t>
      </w:r>
      <w:r w:rsidRPr="00915FC1">
        <w:rPr>
          <w:rFonts w:ascii="Times New Roman" w:hAnsi="Times New Roman" w:cs="Times New Roman"/>
          <w:b/>
          <w:sz w:val="24"/>
          <w:szCs w:val="24"/>
        </w:rPr>
        <w:t>ebagai Upaya Perlindungan Perempuan Dengan Disabilitas</w:t>
      </w:r>
    </w:p>
    <w:p w14:paraId="1EC61A1F" w14:textId="77777777" w:rsidR="00181E49" w:rsidRPr="00181E49" w:rsidRDefault="00181E49" w:rsidP="00915FC1">
      <w:pPr>
        <w:jc w:val="center"/>
        <w:rPr>
          <w:rFonts w:ascii="Times New Roman" w:hAnsi="Times New Roman" w:cs="Times New Roman"/>
          <w:b/>
          <w:sz w:val="24"/>
          <w:szCs w:val="24"/>
          <w:lang w:val="id-ID"/>
        </w:rPr>
      </w:pPr>
    </w:p>
    <w:p w14:paraId="30E4EA82" w14:textId="77777777" w:rsidR="003C21B3" w:rsidRPr="00592D01" w:rsidRDefault="00890019">
      <w:pPr>
        <w:spacing w:line="360" w:lineRule="auto"/>
        <w:ind w:firstLine="720"/>
        <w:jc w:val="both"/>
        <w:rPr>
          <w:rFonts w:asciiTheme="majorBidi" w:hAnsiTheme="majorBidi" w:cstheme="majorBidi"/>
          <w:sz w:val="24"/>
          <w:szCs w:val="24"/>
          <w:lang w:val="id-ID"/>
        </w:rPr>
      </w:pPr>
      <w:r w:rsidRPr="00E06365">
        <w:rPr>
          <w:rFonts w:asciiTheme="majorBidi" w:hAnsiTheme="majorBidi" w:cstheme="majorBidi"/>
          <w:sz w:val="24"/>
          <w:szCs w:val="24"/>
          <w:lang w:val="id-ID"/>
        </w:rPr>
        <w:t>Masalah klasik yang terjadi dalam setiap pembuatan kebijakan di Indonesia adalah seringkali kebijakan yang dibuat tanpa memperlihatkan aspek yang ada di masyarakat</w:t>
      </w:r>
      <w:bookmarkStart w:id="0" w:name="_GoBack"/>
      <w:bookmarkEnd w:id="0"/>
      <w:r w:rsidR="00915FC1">
        <w:rPr>
          <w:rFonts w:asciiTheme="majorBidi" w:hAnsiTheme="majorBidi" w:cstheme="majorBidi"/>
          <w:sz w:val="24"/>
          <w:szCs w:val="24"/>
          <w:lang w:val="id-ID"/>
        </w:rPr>
        <w:t xml:space="preserve">. </w:t>
      </w:r>
      <w:r w:rsidR="00745573">
        <w:rPr>
          <w:rFonts w:asciiTheme="majorBidi" w:hAnsiTheme="majorBidi" w:cstheme="majorBidi"/>
          <w:sz w:val="24"/>
          <w:szCs w:val="24"/>
          <w:lang w:val="id-ID"/>
        </w:rPr>
        <w:t xml:space="preserve">Salah satunya </w:t>
      </w:r>
      <w:r w:rsidR="008E4C6F">
        <w:rPr>
          <w:rFonts w:asciiTheme="majorBidi" w:hAnsiTheme="majorBidi" w:cstheme="majorBidi"/>
          <w:sz w:val="24"/>
          <w:szCs w:val="24"/>
          <w:lang w:val="id-ID"/>
        </w:rPr>
        <w:t>bisa dilihat dalam kasus</w:t>
      </w:r>
      <w:r w:rsidR="00745573">
        <w:rPr>
          <w:rFonts w:asciiTheme="majorBidi" w:hAnsiTheme="majorBidi" w:cstheme="majorBidi"/>
          <w:sz w:val="24"/>
          <w:szCs w:val="24"/>
          <w:lang w:val="id-ID"/>
        </w:rPr>
        <w:t xml:space="preserve"> </w:t>
      </w:r>
      <w:r w:rsidR="008E4C6F">
        <w:rPr>
          <w:rFonts w:asciiTheme="majorBidi" w:hAnsiTheme="majorBidi" w:cstheme="majorBidi"/>
          <w:sz w:val="24"/>
          <w:szCs w:val="24"/>
          <w:lang w:val="id-ID"/>
        </w:rPr>
        <w:t xml:space="preserve">penyandang </w:t>
      </w:r>
      <w:r w:rsidR="00745573">
        <w:rPr>
          <w:rFonts w:asciiTheme="majorBidi" w:hAnsiTheme="majorBidi" w:cstheme="majorBidi"/>
          <w:sz w:val="24"/>
          <w:szCs w:val="24"/>
          <w:lang w:val="id-ID"/>
        </w:rPr>
        <w:t xml:space="preserve">disabilitas </w:t>
      </w:r>
      <w:r w:rsidR="008E4C6F">
        <w:rPr>
          <w:rFonts w:asciiTheme="majorBidi" w:hAnsiTheme="majorBidi" w:cstheme="majorBidi"/>
          <w:sz w:val="24"/>
          <w:szCs w:val="24"/>
          <w:lang w:val="id-ID"/>
        </w:rPr>
        <w:t>terkait</w:t>
      </w:r>
      <w:r w:rsidR="00745573">
        <w:rPr>
          <w:rFonts w:asciiTheme="majorBidi" w:hAnsiTheme="majorBidi" w:cstheme="majorBidi"/>
          <w:sz w:val="24"/>
          <w:szCs w:val="24"/>
          <w:lang w:val="id-ID"/>
        </w:rPr>
        <w:t xml:space="preserve"> </w:t>
      </w:r>
      <w:r w:rsidR="00915FC1">
        <w:rPr>
          <w:rFonts w:asciiTheme="majorBidi" w:hAnsiTheme="majorBidi" w:cstheme="majorBidi"/>
          <w:sz w:val="24"/>
          <w:szCs w:val="24"/>
          <w:lang w:val="id-ID"/>
        </w:rPr>
        <w:t xml:space="preserve">Rencana Aksi Nasional (RAN) </w:t>
      </w:r>
      <w:r w:rsidR="00915FC1" w:rsidRPr="00915FC1">
        <w:rPr>
          <w:rFonts w:ascii="Times New Roman" w:hAnsi="Times New Roman" w:cs="Times New Roman"/>
          <w:sz w:val="24"/>
        </w:rPr>
        <w:t xml:space="preserve">Penyandang Cacat 2004 -2013 </w:t>
      </w:r>
      <w:r w:rsidR="00B33FC7">
        <w:rPr>
          <w:rFonts w:ascii="Times New Roman" w:hAnsi="Times New Roman" w:cs="Times New Roman"/>
          <w:sz w:val="24"/>
          <w:lang w:val="id-ID"/>
        </w:rPr>
        <w:t xml:space="preserve">yang </w:t>
      </w:r>
      <w:r w:rsidR="00915FC1" w:rsidRPr="00915FC1">
        <w:rPr>
          <w:rFonts w:ascii="Times New Roman" w:hAnsi="Times New Roman" w:cs="Times New Roman"/>
          <w:sz w:val="24"/>
        </w:rPr>
        <w:t>hanya memuat program dan kebijakan, namun tidak secara eksplisit menyebutkan instansi/kementerian yang seharusnya melaksanakan tugas dan fungsi dari program dimaksud</w:t>
      </w:r>
      <w:r w:rsidR="00915FC1">
        <w:rPr>
          <w:rFonts w:ascii="Times New Roman" w:hAnsi="Times New Roman" w:cs="Times New Roman"/>
          <w:sz w:val="24"/>
          <w:lang w:val="id-ID"/>
        </w:rPr>
        <w:t xml:space="preserve"> (Irwanto dkk, 2010)</w:t>
      </w:r>
      <w:r>
        <w:rPr>
          <w:rFonts w:asciiTheme="majorBidi" w:hAnsiTheme="majorBidi" w:cstheme="majorBidi"/>
          <w:sz w:val="24"/>
          <w:szCs w:val="24"/>
        </w:rPr>
        <w:t xml:space="preserve">. </w:t>
      </w:r>
      <w:r w:rsidR="00181E49">
        <w:rPr>
          <w:rFonts w:asciiTheme="majorBidi" w:hAnsiTheme="majorBidi" w:cstheme="majorBidi"/>
          <w:sz w:val="24"/>
          <w:szCs w:val="24"/>
          <w:lang w:val="id-ID"/>
        </w:rPr>
        <w:t xml:space="preserve">Salah satu yang layak untuk dijadikan catatan adalah RUU KUHP yang hingga kini tengah disusun. </w:t>
      </w:r>
      <w:r>
        <w:rPr>
          <w:rFonts w:asciiTheme="majorBidi" w:hAnsiTheme="majorBidi" w:cstheme="majorBidi"/>
          <w:sz w:val="24"/>
          <w:szCs w:val="24"/>
        </w:rPr>
        <w:t xml:space="preserve">Misalnya, </w:t>
      </w:r>
      <w:r w:rsidR="00181E49">
        <w:rPr>
          <w:rFonts w:ascii="Times New Roman" w:hAnsi="Times New Roman" w:cs="Times New Roman"/>
          <w:sz w:val="24"/>
          <w:szCs w:val="24"/>
        </w:rPr>
        <w:t>pada Bagian Ketiga</w:t>
      </w:r>
      <w:r w:rsidR="00181E49">
        <w:rPr>
          <w:rFonts w:ascii="Times New Roman" w:hAnsi="Times New Roman" w:cs="Times New Roman"/>
          <w:sz w:val="24"/>
          <w:szCs w:val="24"/>
          <w:lang w:val="id-ID"/>
        </w:rPr>
        <w:t xml:space="preserve"> RKUHP tentang </w:t>
      </w:r>
      <w:r>
        <w:rPr>
          <w:rFonts w:ascii="Times New Roman" w:hAnsi="Times New Roman" w:cs="Times New Roman"/>
          <w:sz w:val="24"/>
          <w:szCs w:val="24"/>
        </w:rPr>
        <w:t>Mempertunjukkan Pencegah Kehamilan dan Pengguguran Kandu</w:t>
      </w:r>
      <w:r w:rsidR="00EF06C4">
        <w:rPr>
          <w:rFonts w:ascii="Times New Roman" w:hAnsi="Times New Roman" w:cs="Times New Roman"/>
          <w:sz w:val="24"/>
          <w:szCs w:val="24"/>
        </w:rPr>
        <w:t xml:space="preserve">ngan yang pada pasal 480 </w:t>
      </w:r>
      <w:r>
        <w:rPr>
          <w:rFonts w:ascii="Times New Roman" w:hAnsi="Times New Roman" w:cs="Times New Roman"/>
          <w:sz w:val="24"/>
          <w:szCs w:val="24"/>
        </w:rPr>
        <w:t>disebutkan “</w:t>
      </w:r>
      <w:r w:rsidRPr="00E30AE0">
        <w:rPr>
          <w:rFonts w:ascii="Times New Roman" w:hAnsi="Times New Roman" w:cs="Times New Roman"/>
          <w:i/>
          <w:sz w:val="24"/>
          <w:szCs w:val="24"/>
        </w:rPr>
        <w:t>Setiap orang yang secara terang-terangan mempertunjukkan suatu alat untuk mencegah kehamilan, secara terang-terangan atau tanpa diminta menawarkan, atau secara terang-terangan atau dengan menyiarkan tulisan tanpa diminta, menunjukkan untuk dapat memperoleh alat pencegah kehamilan tersebut, dipidana dengan pidana denda paling banyak Kategori I</w:t>
      </w:r>
      <w:r>
        <w:rPr>
          <w:rFonts w:ascii="Times New Roman" w:hAnsi="Times New Roman" w:cs="Times New Roman"/>
          <w:sz w:val="24"/>
          <w:szCs w:val="24"/>
        </w:rPr>
        <w:t>.</w:t>
      </w:r>
      <w:r>
        <w:rPr>
          <w:rFonts w:asciiTheme="majorBidi" w:hAnsiTheme="majorBidi" w:cstheme="majorBidi"/>
          <w:sz w:val="24"/>
          <w:szCs w:val="24"/>
        </w:rPr>
        <w:t xml:space="preserve"> Pasal ini dapat menimbulkan kebingungan dan misinterpretasi terkait pihak-pihak yang bisa dikenakan pidana dalam ketentuan RKUHP ini. Hal ini disebabkan dalam promosi alat kontrasepsi hanya menjadi kewenangan tenaga kesehatan. </w:t>
      </w:r>
    </w:p>
    <w:p w14:paraId="59054F7F" w14:textId="77777777" w:rsidR="006E30DE" w:rsidRDefault="00592D01">
      <w:pPr>
        <w:spacing w:line="360" w:lineRule="auto"/>
        <w:ind w:firstLine="720"/>
        <w:jc w:val="both"/>
        <w:rPr>
          <w:rFonts w:asciiTheme="majorBidi" w:hAnsiTheme="majorBidi" w:cstheme="majorBidi"/>
          <w:b/>
          <w:bCs/>
          <w:sz w:val="24"/>
          <w:szCs w:val="24"/>
        </w:rPr>
      </w:pPr>
      <w:r>
        <w:rPr>
          <w:rFonts w:asciiTheme="majorBidi" w:hAnsiTheme="majorBidi" w:cstheme="majorBidi"/>
          <w:sz w:val="24"/>
          <w:szCs w:val="24"/>
        </w:rPr>
        <w:t>Fakta</w:t>
      </w:r>
      <w:r>
        <w:rPr>
          <w:rFonts w:asciiTheme="majorBidi" w:hAnsiTheme="majorBidi" w:cstheme="majorBidi"/>
          <w:sz w:val="24"/>
          <w:szCs w:val="24"/>
          <w:lang w:val="id-ID"/>
        </w:rPr>
        <w:t xml:space="preserve"> yang terjadi di masyarakat</w:t>
      </w:r>
      <w:r w:rsidR="00890019">
        <w:rPr>
          <w:rFonts w:asciiTheme="majorBidi" w:hAnsiTheme="majorBidi" w:cstheme="majorBidi"/>
          <w:sz w:val="24"/>
          <w:szCs w:val="24"/>
        </w:rPr>
        <w:t xml:space="preserve"> cukup banyak yang terlibat</w:t>
      </w:r>
      <w:r>
        <w:rPr>
          <w:rFonts w:asciiTheme="majorBidi" w:hAnsiTheme="majorBidi" w:cstheme="majorBidi"/>
          <w:sz w:val="24"/>
          <w:szCs w:val="24"/>
          <w:lang w:val="id-ID"/>
        </w:rPr>
        <w:t xml:space="preserve"> dalam upaya sosialisasi, promosi, bahkan mengedarkan alat kontrasepsi</w:t>
      </w:r>
      <w:r w:rsidR="00890019">
        <w:rPr>
          <w:rFonts w:asciiTheme="majorBidi" w:hAnsiTheme="majorBidi" w:cstheme="majorBidi"/>
          <w:sz w:val="24"/>
          <w:szCs w:val="24"/>
        </w:rPr>
        <w:t xml:space="preserve">. Termasuk di dalamnya pendamping bagi penyandang disabilitas, baik yang bersifat pendamping individu maupun organisasi. Tidak jauh berbeda dengan kondisi di lapangan, yang mana tim PKK biasa sering difungsikan sebagai kader Keluarga Berencana. Jika melihat fakta dari beberapa peneliti </w:t>
      </w:r>
      <w:r w:rsidR="008712CD">
        <w:rPr>
          <w:rFonts w:asciiTheme="majorBidi" w:hAnsiTheme="majorBidi" w:cstheme="majorBidi"/>
          <w:sz w:val="24"/>
          <w:szCs w:val="24"/>
          <w:lang w:val="id-ID"/>
        </w:rPr>
        <w:t xml:space="preserve">di Indonesia </w:t>
      </w:r>
      <w:r w:rsidR="00890019">
        <w:rPr>
          <w:rFonts w:asciiTheme="majorBidi" w:hAnsiTheme="majorBidi" w:cstheme="majorBidi"/>
          <w:sz w:val="24"/>
          <w:szCs w:val="24"/>
        </w:rPr>
        <w:t>yang telah menemukan</w:t>
      </w:r>
      <w:r w:rsidR="008712CD">
        <w:rPr>
          <w:rFonts w:asciiTheme="majorBidi" w:hAnsiTheme="majorBidi" w:cstheme="majorBidi"/>
          <w:sz w:val="24"/>
          <w:szCs w:val="24"/>
          <w:lang w:val="id-ID"/>
        </w:rPr>
        <w:t xml:space="preserve"> fakta</w:t>
      </w:r>
      <w:r w:rsidR="00890019">
        <w:rPr>
          <w:rFonts w:asciiTheme="majorBidi" w:hAnsiTheme="majorBidi" w:cstheme="majorBidi"/>
          <w:sz w:val="24"/>
          <w:szCs w:val="24"/>
        </w:rPr>
        <w:t xml:space="preserve"> bahwa orang dengan disabilitas memiliki risiko 4-10 kali lebih tinggi menjadi korban kejahatan bila dibandingkan mereka yang tidak memiliki masalah disabilitas</w:t>
      </w:r>
      <w:r w:rsidR="00110E4E">
        <w:rPr>
          <w:rFonts w:asciiTheme="majorBidi" w:hAnsiTheme="majorBidi" w:cstheme="majorBidi"/>
          <w:sz w:val="24"/>
          <w:szCs w:val="24"/>
          <w:lang w:val="id-ID"/>
        </w:rPr>
        <w:t xml:space="preserve"> (Fakhriya dkk, 2018)</w:t>
      </w:r>
      <w:r w:rsidR="00890019">
        <w:rPr>
          <w:rFonts w:asciiTheme="majorBidi" w:hAnsiTheme="majorBidi" w:cstheme="majorBidi"/>
          <w:sz w:val="24"/>
          <w:szCs w:val="24"/>
        </w:rPr>
        <w:t xml:space="preserve">. </w:t>
      </w:r>
      <w:r w:rsidR="00890019">
        <w:rPr>
          <w:rFonts w:ascii="Times New Roman" w:hAnsi="Times New Roman" w:cs="Times New Roman"/>
          <w:sz w:val="24"/>
          <w:szCs w:val="24"/>
        </w:rPr>
        <w:t xml:space="preserve">Hal ini mengabaikan peran masyarakat yang sudah tercantum dalam PP No 61 tentang Kesehatan Reproduksi. Pasal 21 ayat 1 berbunyi </w:t>
      </w:r>
      <w:r w:rsidR="00890019">
        <w:rPr>
          <w:rFonts w:asciiTheme="majorBidi" w:hAnsiTheme="majorBidi" w:cstheme="majorBidi"/>
          <w:sz w:val="24"/>
          <w:szCs w:val="24"/>
        </w:rPr>
        <w:t>“</w:t>
      </w:r>
      <w:r w:rsidR="00890019" w:rsidRPr="00456DCD">
        <w:rPr>
          <w:rFonts w:asciiTheme="majorBidi" w:hAnsiTheme="majorBidi" w:cstheme="majorBidi"/>
          <w:i/>
          <w:color w:val="000000"/>
          <w:sz w:val="24"/>
          <w:szCs w:val="24"/>
        </w:rPr>
        <w:t>Pelayanan kontrasepsi diselenggarakan oleh Pemerintah, pemerintah daerah, dan masyarakat</w:t>
      </w:r>
      <w:r w:rsidR="00890019">
        <w:rPr>
          <w:rFonts w:asciiTheme="majorBidi" w:hAnsiTheme="majorBidi" w:cstheme="majorBidi"/>
          <w:color w:val="000000"/>
          <w:sz w:val="24"/>
          <w:szCs w:val="24"/>
        </w:rPr>
        <w:t>.”</w:t>
      </w:r>
    </w:p>
    <w:p w14:paraId="3BC7A5E9" w14:textId="77777777" w:rsidR="006E30DE" w:rsidRPr="00E06365" w:rsidRDefault="00890019" w:rsidP="00E06365">
      <w:pPr>
        <w:spacing w:line="360" w:lineRule="auto"/>
        <w:jc w:val="both"/>
        <w:rPr>
          <w:rFonts w:asciiTheme="majorBidi" w:hAnsiTheme="majorBidi" w:cstheme="majorBidi"/>
          <w:b/>
          <w:bCs/>
          <w:sz w:val="24"/>
          <w:szCs w:val="24"/>
        </w:rPr>
      </w:pPr>
      <w:r>
        <w:rPr>
          <w:rFonts w:asciiTheme="majorBidi" w:hAnsiTheme="majorBidi" w:cstheme="majorBidi"/>
          <w:b/>
          <w:bCs/>
          <w:sz w:val="24"/>
          <w:szCs w:val="24"/>
        </w:rPr>
        <w:lastRenderedPageBreak/>
        <w:t>Pengabaian Kewenangan</w:t>
      </w:r>
    </w:p>
    <w:p w14:paraId="7534AF43" w14:textId="77777777" w:rsidR="006E30DE" w:rsidRPr="00E06365" w:rsidRDefault="00890019" w:rsidP="00E06365">
      <w:pPr>
        <w:spacing w:line="360" w:lineRule="auto"/>
        <w:ind w:firstLine="720"/>
        <w:jc w:val="both"/>
        <w:rPr>
          <w:rFonts w:ascii="Calibri" w:hAnsi="Calibri" w:cs="Calibri"/>
          <w:i/>
          <w:iCs/>
          <w:color w:val="000000"/>
        </w:rPr>
      </w:pPr>
      <w:r>
        <w:rPr>
          <w:rFonts w:asciiTheme="majorBidi" w:hAnsiTheme="majorBidi" w:cstheme="majorBidi"/>
          <w:sz w:val="24"/>
          <w:szCs w:val="24"/>
        </w:rPr>
        <w:t xml:space="preserve">Jika </w:t>
      </w:r>
      <w:r w:rsidR="0084358B">
        <w:rPr>
          <w:rFonts w:asciiTheme="majorBidi" w:hAnsiTheme="majorBidi" w:cstheme="majorBidi"/>
          <w:sz w:val="24"/>
          <w:szCs w:val="24"/>
          <w:lang w:val="id-ID"/>
        </w:rPr>
        <w:t>pengabaian peran</w:t>
      </w:r>
      <w:r w:rsidR="000809FA">
        <w:rPr>
          <w:rFonts w:asciiTheme="majorBidi" w:hAnsiTheme="majorBidi" w:cstheme="majorBidi"/>
          <w:sz w:val="24"/>
          <w:szCs w:val="24"/>
          <w:lang w:val="id-ID"/>
        </w:rPr>
        <w:t xml:space="preserve"> di luar tenaga kesehatan</w:t>
      </w:r>
      <w:r w:rsidR="00D911DA">
        <w:rPr>
          <w:rFonts w:asciiTheme="majorBidi" w:hAnsiTheme="majorBidi" w:cstheme="majorBidi"/>
          <w:sz w:val="24"/>
          <w:szCs w:val="24"/>
        </w:rPr>
        <w:t xml:space="preserve"> ini dipaksakan</w:t>
      </w:r>
      <w:r w:rsidR="00D911DA">
        <w:rPr>
          <w:rFonts w:asciiTheme="majorBidi" w:hAnsiTheme="majorBidi" w:cstheme="majorBidi"/>
          <w:sz w:val="24"/>
          <w:szCs w:val="24"/>
          <w:lang w:val="id-ID"/>
        </w:rPr>
        <w:t xml:space="preserve"> maka</w:t>
      </w:r>
      <w:r>
        <w:rPr>
          <w:rFonts w:asciiTheme="majorBidi" w:hAnsiTheme="majorBidi" w:cstheme="majorBidi"/>
          <w:sz w:val="24"/>
          <w:szCs w:val="24"/>
        </w:rPr>
        <w:t xml:space="preserve"> tokoh agama, lembaga swadaya masyarakat, pendamping penyandang disabilitas, hingga PKK dapat dikenakan pidana akibat dari ketentuan ini. Jika ketentuan ini dipaksakan, akan menjadi preseden buruk bagi organisasi penyandang disabilitas yang selama ini melakukan pendampingan terhadap penyandang disabilitas. Hal ini disebabkan mereka tidak termasuk dalam kelompok pihak yang berwenang, yakni tenaga kesehatan sebagaimana terdapat dalam Undang-undang No 36 Tahun 2014 Tentang Tenaga Kesehatan. </w:t>
      </w:r>
      <w:r>
        <w:rPr>
          <w:rFonts w:asciiTheme="majorBidi" w:hAnsiTheme="majorBidi" w:cstheme="majorBidi"/>
          <w:color w:val="000000"/>
          <w:sz w:val="24"/>
          <w:szCs w:val="24"/>
        </w:rPr>
        <w:t>Pasal 483 berbunyi “</w:t>
      </w:r>
      <w:r>
        <w:rPr>
          <w:rFonts w:asciiTheme="majorBidi" w:hAnsiTheme="majorBidi" w:cstheme="majorBidi"/>
          <w:i/>
          <w:iCs/>
          <w:color w:val="000000"/>
          <w:sz w:val="24"/>
          <w:szCs w:val="24"/>
        </w:rPr>
        <w:t>Tidak dipidana, setiap orang yang melakukan perbuatan sebagaimana dimaksud dalam</w:t>
      </w:r>
      <w:r>
        <w:rPr>
          <w:rFonts w:asciiTheme="majorBidi" w:hAnsiTheme="majorBidi" w:cstheme="majorBidi"/>
          <w:color w:val="000000"/>
          <w:sz w:val="24"/>
          <w:szCs w:val="24"/>
        </w:rPr>
        <w:t xml:space="preserve"> </w:t>
      </w:r>
      <w:r>
        <w:rPr>
          <w:rFonts w:asciiTheme="majorBidi" w:hAnsiTheme="majorBidi" w:cstheme="majorBidi"/>
          <w:i/>
          <w:iCs/>
          <w:color w:val="000000"/>
          <w:sz w:val="24"/>
          <w:szCs w:val="24"/>
        </w:rPr>
        <w:t>Pasal 481 dan Pasal 482 jika perbuatan tersebut dilakukan petugas yang berwenang dalam</w:t>
      </w:r>
      <w:r>
        <w:rPr>
          <w:rFonts w:asciiTheme="majorBidi" w:hAnsiTheme="majorBidi" w:cstheme="majorBidi"/>
          <w:color w:val="000000"/>
          <w:sz w:val="24"/>
          <w:szCs w:val="24"/>
        </w:rPr>
        <w:t xml:space="preserve"> </w:t>
      </w:r>
      <w:r>
        <w:rPr>
          <w:rFonts w:asciiTheme="majorBidi" w:hAnsiTheme="majorBidi" w:cstheme="majorBidi"/>
          <w:i/>
          <w:iCs/>
          <w:color w:val="000000"/>
          <w:sz w:val="24"/>
          <w:szCs w:val="24"/>
        </w:rPr>
        <w:t>rangka pelaksanaan keluarga berencana dan pencegahan penyakit menular.</w:t>
      </w:r>
    </w:p>
    <w:p w14:paraId="01349275" w14:textId="77777777" w:rsidR="006E30DE" w:rsidRDefault="00890019">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Hal ini menjadi semakin kompleks dan rumit jika melihat fakta menjamurnya penjualan alat konstrasepsi (kondom) di supermarket, bahkan hingga toko-toko kelontong. Diperlukan adanya payung hukum yang lebih jelas dan terarah terkait arah penggunaan KUHP agar tidak memidanakan pihak-pihak yang selama ini justru sangat membantu dalam upaya kampanye alat kontrasepsi di masyarakat. Organisasi penyandang disabilitas yang selama ini menjadi ujung tombak dalam advokasi terhadap penyandang disabilitas harus diberi ruang yang lebih luas. Pengabaian organisasi penyandang difabel dalam advokasi alat kontrasepsi juga kontradiktif dengan UU No 8 Tahun 2016 Tentang Penyandang Disabilitas. </w:t>
      </w:r>
      <w:r w:rsidR="003C5066">
        <w:rPr>
          <w:rFonts w:asciiTheme="majorBidi" w:hAnsiTheme="majorBidi" w:cstheme="majorBidi"/>
          <w:sz w:val="24"/>
          <w:szCs w:val="24"/>
          <w:lang w:val="id-ID"/>
        </w:rPr>
        <w:t xml:space="preserve">Kontradiksi tersebut terdapa pada </w:t>
      </w:r>
      <w:r>
        <w:rPr>
          <w:rFonts w:asciiTheme="majorBidi" w:hAnsiTheme="majorBidi" w:cstheme="majorBidi"/>
          <w:sz w:val="24"/>
          <w:szCs w:val="24"/>
        </w:rPr>
        <w:t>Pasal 133 berbunyi “</w:t>
      </w:r>
      <w:r>
        <w:rPr>
          <w:rFonts w:ascii="Bookman Old Style" w:hAnsi="Bookman Old Style"/>
          <w:i/>
          <w:iCs/>
          <w:color w:val="000000"/>
        </w:rPr>
        <w:t>pelaksanaan kerja sama dalam penanganan Penyandang Disabilitas dengan pemangku kepentingan terkait</w:t>
      </w:r>
      <w:r>
        <w:rPr>
          <w:rFonts w:ascii="Bookman Old Style" w:hAnsi="Bookman Old Style"/>
          <w:color w:val="000000"/>
        </w:rPr>
        <w:t>”</w:t>
      </w:r>
    </w:p>
    <w:p w14:paraId="58E34262" w14:textId="77777777" w:rsidR="006E30DE" w:rsidRDefault="00890019">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Jika merujuk dengan UU No 8 Tahun 2016 di atas, setiap sektor terkait penanganan </w:t>
      </w:r>
      <w:r w:rsidR="00456DCD">
        <w:rPr>
          <w:rFonts w:asciiTheme="majorBidi" w:hAnsiTheme="majorBidi" w:cstheme="majorBidi"/>
          <w:sz w:val="24"/>
          <w:szCs w:val="24"/>
          <w:lang w:val="id-ID"/>
        </w:rPr>
        <w:t>penyandang disabilitas</w:t>
      </w:r>
      <w:r>
        <w:rPr>
          <w:rFonts w:asciiTheme="majorBidi" w:hAnsiTheme="majorBidi" w:cstheme="majorBidi"/>
          <w:sz w:val="24"/>
          <w:szCs w:val="24"/>
        </w:rPr>
        <w:t xml:space="preserve"> harus melibatkan penyandang disabilitas dengan pemangku kepentingan terkait. Dan pendampingan yang dilakukan organisasi penyandang disabilitas masuk ke dalam sektor ini. Keterilbatan organisasi penyandang difabel dalam upaya mens</w:t>
      </w:r>
      <w:r>
        <w:rPr>
          <w:rFonts w:asciiTheme="majorBidi" w:hAnsiTheme="majorBidi" w:cstheme="majorBidi"/>
          <w:sz w:val="24"/>
          <w:szCs w:val="24"/>
          <w:lang w:val="id-ID"/>
        </w:rPr>
        <w:t>os</w:t>
      </w:r>
      <w:r>
        <w:rPr>
          <w:rFonts w:asciiTheme="majorBidi" w:hAnsiTheme="majorBidi" w:cstheme="majorBidi"/>
          <w:sz w:val="24"/>
          <w:szCs w:val="24"/>
        </w:rPr>
        <w:t xml:space="preserve">ialisasikan kampanye alat kontrasepsi bagi penyandang disabilitas merupakan suatu keharusan. Sifat kekhususan yang dimiliki penyandang disabilitas perlu menggunakan pendekatan khusus untuk menanganinya. Penanganan khusus ini tidak bisa dipikul sama rata dengan kebijakan yang bersifat umum yang selama ini digunakan untuk advokasi dan sosialisasi penggunaan kontrasepsi bagi penyandang disabilitas.  Jika menilik pada rendahnya pemahaman terkait penggunaan alat kontrasepsi di </w:t>
      </w:r>
      <w:r>
        <w:rPr>
          <w:rFonts w:asciiTheme="majorBidi" w:hAnsiTheme="majorBidi" w:cstheme="majorBidi"/>
          <w:sz w:val="24"/>
          <w:szCs w:val="24"/>
        </w:rPr>
        <w:lastRenderedPageBreak/>
        <w:t>kalangan penyandang disabilitas sebagaimana terlihat pada data yang dihimpun dari SAPDA, peran serta pendamping bagi difabel yang terorganisir menjadi hal yang mendesak dibutuhkan.</w:t>
      </w:r>
    </w:p>
    <w:p w14:paraId="21768611" w14:textId="77777777" w:rsidR="006E30DE" w:rsidRDefault="00890019">
      <w:pPr>
        <w:spacing w:line="360" w:lineRule="auto"/>
        <w:ind w:firstLine="720"/>
        <w:jc w:val="both"/>
        <w:rPr>
          <w:rFonts w:asciiTheme="majorBidi" w:hAnsiTheme="majorBidi" w:cstheme="majorBidi"/>
          <w:color w:val="000000"/>
          <w:sz w:val="24"/>
          <w:szCs w:val="24"/>
        </w:rPr>
      </w:pPr>
      <w:r>
        <w:rPr>
          <w:rFonts w:asciiTheme="majorBidi" w:hAnsiTheme="majorBidi" w:cstheme="majorBidi"/>
          <w:sz w:val="24"/>
          <w:szCs w:val="24"/>
        </w:rPr>
        <w:t>Tanpa melibatkan penyandang disabilitas dalam setiap pengambilan kebijakan sama halnya dengan menyuburkan diskriminasi. Dalam ilmu hukum d</w:t>
      </w:r>
      <w:r>
        <w:rPr>
          <w:rFonts w:asciiTheme="majorBidi" w:hAnsiTheme="majorBidi" w:cstheme="majorBidi"/>
          <w:color w:val="000000"/>
          <w:sz w:val="24"/>
          <w:szCs w:val="24"/>
        </w:rPr>
        <w:t>iskriminasi rasial meengganggu ketertiban dan ketentr</w:t>
      </w:r>
      <w:r w:rsidR="00456DCD">
        <w:rPr>
          <w:rFonts w:asciiTheme="majorBidi" w:hAnsiTheme="majorBidi" w:cstheme="majorBidi"/>
          <w:color w:val="000000"/>
          <w:sz w:val="24"/>
          <w:szCs w:val="24"/>
          <w:lang w:val="id-ID"/>
        </w:rPr>
        <w:t>am</w:t>
      </w:r>
      <w:r>
        <w:rPr>
          <w:rFonts w:asciiTheme="majorBidi" w:hAnsiTheme="majorBidi" w:cstheme="majorBidi"/>
          <w:color w:val="000000"/>
          <w:sz w:val="24"/>
          <w:szCs w:val="24"/>
        </w:rPr>
        <w:t>an sosial masyarakat Indonesia</w:t>
      </w:r>
      <w:r>
        <w:rPr>
          <w:rFonts w:asciiTheme="majorBidi" w:hAnsiTheme="majorBidi" w:cstheme="majorBidi"/>
          <w:i/>
          <w:iCs/>
          <w:color w:val="000000"/>
          <w:sz w:val="24"/>
          <w:szCs w:val="24"/>
        </w:rPr>
        <w:t xml:space="preserve"> (gemeen gevararlijke </w:t>
      </w:r>
      <w:r>
        <w:rPr>
          <w:rFonts w:asciiTheme="majorBidi" w:hAnsiTheme="majorBidi" w:cstheme="majorBidi"/>
          <w:color w:val="000000"/>
          <w:sz w:val="24"/>
          <w:szCs w:val="24"/>
        </w:rPr>
        <w:t>atau</w:t>
      </w:r>
      <w:r>
        <w:rPr>
          <w:rFonts w:asciiTheme="majorBidi" w:hAnsiTheme="majorBidi" w:cstheme="majorBidi"/>
          <w:i/>
          <w:iCs/>
          <w:color w:val="000000"/>
          <w:sz w:val="24"/>
          <w:szCs w:val="24"/>
        </w:rPr>
        <w:t xml:space="preserve"> gevaarzetingsdelicten</w:t>
      </w:r>
      <w:r>
        <w:rPr>
          <w:rFonts w:asciiTheme="majorBidi" w:hAnsiTheme="majorBidi" w:cstheme="majorBidi"/>
          <w:color w:val="000000"/>
          <w:sz w:val="24"/>
          <w:szCs w:val="24"/>
        </w:rPr>
        <w:t>). Pengabaian ini ini sama halnya dengan mempertajam jurang diskriminasi bagi penyandang difabel. Hal ini berbeda dengan KUHP di Perancis yang cukup lengkap dan progresif dalam mengatur kejahatan diskriminasi sebagai kejahatan “diskriminasi”, sekaligus mengatur perbuatan yang memiliki intensi diskriminasi. KUHP Perancis menjadi contoh kebijakan kriminal di mana berbagai bentuk diskriminasi dirumuskan sebagai tindak pidana. Jika RKUHP masih menggunakan format yang demikian, sejak dalam KUHP itu sendiri pun sudah memunculkan diskriminasi.</w:t>
      </w:r>
    </w:p>
    <w:p w14:paraId="5B01FEA9" w14:textId="77777777" w:rsidR="006E30DE" w:rsidRDefault="00890019">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 xml:space="preserve">Menurut </w:t>
      </w:r>
      <w:r>
        <w:rPr>
          <w:rStyle w:val="Emphasis"/>
          <w:rFonts w:asciiTheme="majorBidi" w:hAnsiTheme="majorBidi" w:cstheme="majorBidi"/>
          <w:i w:val="0"/>
          <w:iCs w:val="0"/>
          <w:color w:val="000000"/>
          <w:sz w:val="24"/>
          <w:szCs w:val="24"/>
          <w:shd w:val="clear" w:color="auto" w:fill="FFFFFF"/>
        </w:rPr>
        <w:t>Leigh Ann Davis</w:t>
      </w:r>
      <w:r>
        <w:rPr>
          <w:rStyle w:val="Emphasis"/>
          <w:rFonts w:ascii="Arial" w:hAnsi="Arial" w:cs="Arial"/>
          <w:color w:val="000000"/>
          <w:sz w:val="20"/>
          <w:szCs w:val="20"/>
          <w:shd w:val="clear" w:color="auto" w:fill="FFFFFF"/>
        </w:rPr>
        <w:t xml:space="preserve"> </w:t>
      </w:r>
      <w:r>
        <w:rPr>
          <w:rFonts w:asciiTheme="majorBidi" w:hAnsiTheme="majorBidi" w:cstheme="majorBidi"/>
          <w:sz w:val="24"/>
          <w:szCs w:val="24"/>
        </w:rPr>
        <w:t>(2009) orang yang menyandang disabilitas, baik secara intelektual, kognitif atau perkembangan, lebih sering terlibat kasus hukum, baik sebagai korban dan tersangka atau pelaku, dibandingkan individu yang tidak menyandang disabilitas. Hal ini mengindikasikan perlunya aspek-aspek yang tidak mendiskriminasikan penyandang disabilitas, termasuk dari upaya pencegahan kekerasan seksual terhadap penyandang disabilitas.</w:t>
      </w:r>
    </w:p>
    <w:p w14:paraId="769373FB" w14:textId="77777777" w:rsidR="006E30DE" w:rsidRDefault="00890019">
      <w:pPr>
        <w:spacing w:line="360" w:lineRule="auto"/>
        <w:jc w:val="both"/>
        <w:rPr>
          <w:rFonts w:asciiTheme="majorBidi" w:hAnsiTheme="majorBidi" w:cstheme="majorBidi"/>
          <w:b/>
          <w:bCs/>
          <w:i/>
          <w:iCs/>
          <w:sz w:val="24"/>
          <w:szCs w:val="24"/>
        </w:rPr>
      </w:pPr>
      <w:r>
        <w:rPr>
          <w:rFonts w:asciiTheme="majorBidi" w:hAnsiTheme="majorBidi" w:cstheme="majorBidi"/>
          <w:b/>
          <w:bCs/>
          <w:i/>
          <w:iCs/>
          <w:sz w:val="24"/>
          <w:szCs w:val="24"/>
        </w:rPr>
        <w:t>Human Right Based</w:t>
      </w:r>
    </w:p>
    <w:p w14:paraId="11D5552E" w14:textId="77777777" w:rsidR="006E30DE" w:rsidRDefault="00890019">
      <w:pPr>
        <w:spacing w:line="360" w:lineRule="auto"/>
        <w:ind w:firstLine="720"/>
        <w:jc w:val="both"/>
        <w:rPr>
          <w:rFonts w:asciiTheme="majorBidi" w:hAnsiTheme="majorBidi" w:cstheme="majorBidi"/>
          <w:sz w:val="24"/>
          <w:szCs w:val="24"/>
        </w:rPr>
      </w:pPr>
      <w:r>
        <w:rPr>
          <w:rFonts w:asciiTheme="majorBidi" w:hAnsiTheme="majorBidi" w:cstheme="majorBidi"/>
          <w:sz w:val="24"/>
          <w:szCs w:val="24"/>
        </w:rPr>
        <w:t>Dalam CRPD pasal 16 ayat 3 juga menyebutkan bahwa untuk mencegah terjadinya segala bentuk eksploitasi, kekerasan dan pelecehan, harus menjamin bahwa semua fasilitas dan program didesain untuk melayani penyandang disabilitas dipantau secara efektif oleh otoritas independen. Keberadaan pendamping, baik yang secara pribadi maupun organisasi, kehadirannya merupakan unsur independen dalam upaya pemenuhan hak perempuan dengan disabilitas untuk terbebas dari korban kekerasan seksual, termasuk di dalamnya mekanisme penggunaan alat kontasepsi. Setidaknya ada beberapa alasan pelibatan unsur independen bagi perempuan dengan disabilitas dalam promosi penggunaan alat kontrasepsi.</w:t>
      </w:r>
    </w:p>
    <w:p w14:paraId="403175E4" w14:textId="77777777" w:rsidR="006E30DE" w:rsidRDefault="00890019">
      <w:pPr>
        <w:spacing w:line="360" w:lineRule="auto"/>
        <w:ind w:firstLine="720"/>
        <w:jc w:val="both"/>
        <w:rPr>
          <w:rFonts w:asciiTheme="majorBidi" w:hAnsiTheme="majorBidi" w:cstheme="majorBidi"/>
          <w:sz w:val="24"/>
          <w:szCs w:val="24"/>
        </w:rPr>
      </w:pPr>
      <w:r>
        <w:rPr>
          <w:rFonts w:asciiTheme="majorBidi" w:hAnsiTheme="majorBidi" w:cstheme="majorBidi"/>
          <w:i/>
          <w:iCs/>
          <w:sz w:val="24"/>
          <w:szCs w:val="24"/>
        </w:rPr>
        <w:t>Pertama</w:t>
      </w:r>
      <w:r>
        <w:rPr>
          <w:rFonts w:asciiTheme="majorBidi" w:hAnsiTheme="majorBidi" w:cstheme="majorBidi"/>
          <w:sz w:val="24"/>
          <w:szCs w:val="24"/>
        </w:rPr>
        <w:t xml:space="preserve">, pendamping yang lebih mengetahui tentang kondisi, layanan, dan fasilitas bagi </w:t>
      </w:r>
      <w:r w:rsidR="00AC6D15">
        <w:rPr>
          <w:rFonts w:asciiTheme="majorBidi" w:hAnsiTheme="majorBidi" w:cstheme="majorBidi"/>
          <w:sz w:val="24"/>
          <w:szCs w:val="24"/>
          <w:lang w:val="id-ID"/>
        </w:rPr>
        <w:t>penyandang disabilitas</w:t>
      </w:r>
      <w:r>
        <w:rPr>
          <w:rFonts w:asciiTheme="majorBidi" w:hAnsiTheme="majorBidi" w:cstheme="majorBidi"/>
          <w:sz w:val="24"/>
          <w:szCs w:val="24"/>
        </w:rPr>
        <w:t xml:space="preserve">. Pendamping selama ini berasal dari sesama penyandang disabilitas maupun non-disabilitas yang cukup kompeten dalam memahami kebutuhan penyandang </w:t>
      </w:r>
      <w:r>
        <w:rPr>
          <w:rFonts w:asciiTheme="majorBidi" w:hAnsiTheme="majorBidi" w:cstheme="majorBidi"/>
          <w:sz w:val="24"/>
          <w:szCs w:val="24"/>
        </w:rPr>
        <w:lastRenderedPageBreak/>
        <w:t>disabilitas dapat mengurangi resiko kontraproduktifisme yang seringkali muncul dalam pembuatan kebijakan. Paradigma harus sudah memiliki pandangan bahwa penyandang disabilitas harus diperlakukan sebagai orang yang memiliki hak yang setara dengan manusia yang lain, yang mampu mengklaim haknya (</w:t>
      </w:r>
      <w:r>
        <w:rPr>
          <w:rFonts w:asciiTheme="majorBidi" w:hAnsiTheme="majorBidi" w:cstheme="majorBidi"/>
          <w:i/>
          <w:iCs/>
          <w:sz w:val="24"/>
          <w:szCs w:val="24"/>
        </w:rPr>
        <w:t>human right based</w:t>
      </w:r>
      <w:r>
        <w:rPr>
          <w:rFonts w:asciiTheme="majorBidi" w:hAnsiTheme="majorBidi" w:cstheme="majorBidi"/>
          <w:sz w:val="24"/>
          <w:szCs w:val="24"/>
        </w:rPr>
        <w:t>).  Upaya ini untuk meminimalisir cara pandang lama yang melihat para penyandang disabilitas sebagai "obyek" amal, pengobatan dan perlindungan sosial (</w:t>
      </w:r>
      <w:r>
        <w:rPr>
          <w:rFonts w:asciiTheme="majorBidi" w:hAnsiTheme="majorBidi" w:cstheme="majorBidi"/>
          <w:i/>
          <w:iCs/>
          <w:sz w:val="24"/>
          <w:szCs w:val="24"/>
        </w:rPr>
        <w:t>charity</w:t>
      </w:r>
      <w:r>
        <w:rPr>
          <w:rFonts w:asciiTheme="majorBidi" w:hAnsiTheme="majorBidi" w:cstheme="majorBidi"/>
          <w:sz w:val="24"/>
          <w:szCs w:val="24"/>
        </w:rPr>
        <w:t xml:space="preserve"> atau </w:t>
      </w:r>
      <w:r>
        <w:rPr>
          <w:rFonts w:asciiTheme="majorBidi" w:hAnsiTheme="majorBidi" w:cstheme="majorBidi"/>
          <w:i/>
          <w:iCs/>
          <w:sz w:val="24"/>
          <w:szCs w:val="24"/>
        </w:rPr>
        <w:t>social based</w:t>
      </w:r>
      <w:r>
        <w:rPr>
          <w:rFonts w:asciiTheme="majorBidi" w:hAnsiTheme="majorBidi" w:cstheme="majorBidi"/>
          <w:sz w:val="24"/>
          <w:szCs w:val="24"/>
        </w:rPr>
        <w:t>) yang akhir-akhir ini masih kerap terjadi.</w:t>
      </w:r>
    </w:p>
    <w:p w14:paraId="44847DCD" w14:textId="77777777" w:rsidR="006E30DE" w:rsidRDefault="00890019">
      <w:pPr>
        <w:spacing w:line="360" w:lineRule="auto"/>
        <w:ind w:firstLine="720"/>
        <w:jc w:val="both"/>
        <w:rPr>
          <w:rFonts w:asciiTheme="majorBidi" w:hAnsiTheme="majorBidi" w:cstheme="majorBidi"/>
          <w:sz w:val="24"/>
          <w:szCs w:val="24"/>
        </w:rPr>
      </w:pPr>
      <w:r>
        <w:rPr>
          <w:rFonts w:asciiTheme="majorBidi" w:hAnsiTheme="majorBidi" w:cstheme="majorBidi"/>
          <w:i/>
          <w:iCs/>
          <w:sz w:val="24"/>
          <w:szCs w:val="24"/>
        </w:rPr>
        <w:t>Kedua</w:t>
      </w:r>
      <w:r>
        <w:rPr>
          <w:rFonts w:asciiTheme="majorBidi" w:hAnsiTheme="majorBidi" w:cstheme="majorBidi"/>
          <w:sz w:val="24"/>
          <w:szCs w:val="24"/>
        </w:rPr>
        <w:t xml:space="preserve">, pengalaman pendamping dalam kasus-kasus </w:t>
      </w:r>
      <w:r w:rsidR="00AC6D15">
        <w:rPr>
          <w:rFonts w:asciiTheme="majorBidi" w:hAnsiTheme="majorBidi" w:cstheme="majorBidi"/>
          <w:sz w:val="24"/>
          <w:szCs w:val="24"/>
          <w:lang w:val="id-ID"/>
        </w:rPr>
        <w:t>penyandang disabilitas</w:t>
      </w:r>
      <w:r>
        <w:rPr>
          <w:rFonts w:asciiTheme="majorBidi" w:hAnsiTheme="majorBidi" w:cstheme="majorBidi"/>
          <w:sz w:val="24"/>
          <w:szCs w:val="24"/>
        </w:rPr>
        <w:t xml:space="preserve"> yang spesifik. Kebutuhan difabel yang berbeda, termasuk dalam kebutuhan reproduksi seksualnya, mengantarkan pada tataran spesifikasi kebutuhan. Oleh karena itu, keterlibatan pendamping di luar yang masuk dalam tenaga kesehatan dalam kampanye atau sosialisasi alat kontrasepsi bagi perempuan dengan disabilitas mutlak dibutuhkan. </w:t>
      </w:r>
      <w:r>
        <w:rPr>
          <w:rFonts w:asciiTheme="majorBidi" w:hAnsiTheme="majorBidi" w:cstheme="majorBidi"/>
          <w:i/>
          <w:iCs/>
          <w:sz w:val="24"/>
          <w:szCs w:val="24"/>
        </w:rPr>
        <w:t>Ketiga</w:t>
      </w:r>
      <w:r>
        <w:rPr>
          <w:rFonts w:asciiTheme="majorBidi" w:hAnsiTheme="majorBidi" w:cstheme="majorBidi"/>
          <w:sz w:val="24"/>
          <w:szCs w:val="24"/>
        </w:rPr>
        <w:t>, menghindari upaya generalisasi. Dengan kebutuhan yang berbeda sesuai dengan ragam disabilitas, maupun ragam pengetahuan yang dimiliki penyandang disabilitas, dapat menjadi pijakan untuk meminimalisir upaya generalisasi. Generalisasi terhadap perempuan penyandang disabilitas.</w:t>
      </w:r>
    </w:p>
    <w:p w14:paraId="29DAF060" w14:textId="77777777" w:rsidR="006E30DE" w:rsidRPr="00AC6D15" w:rsidRDefault="00AC6D15">
      <w:pPr>
        <w:spacing w:line="360" w:lineRule="auto"/>
        <w:ind w:firstLine="720"/>
        <w:jc w:val="both"/>
        <w:rPr>
          <w:rFonts w:asciiTheme="majorBidi" w:hAnsiTheme="majorBidi" w:cstheme="majorBidi"/>
          <w:sz w:val="24"/>
          <w:szCs w:val="24"/>
          <w:lang w:val="id-ID"/>
        </w:rPr>
      </w:pPr>
      <w:r>
        <w:rPr>
          <w:rFonts w:asciiTheme="majorBidi" w:hAnsiTheme="majorBidi" w:cstheme="majorBidi"/>
          <w:sz w:val="24"/>
          <w:szCs w:val="24"/>
          <w:lang w:val="id-ID"/>
        </w:rPr>
        <w:t>Dengan demikian keberadaan pendamping dalam memberikan sosialisasi kesehatan reproduksi, termasuk di dalam alat kontrasepsi, sangat urgen dibutuhkan. Apabila RUU KUHP masih meniadakan peran unsur individu atau kelompok di luar Tenaga Kesehatan dalam sosialisasi kesehatan reproduksi akan terjadi kontradiksi dengan realitas kebutuhan masyarakat, terlebih bagi perempuan dengan disabilitas yang cukup rentan. Kerentanan tersebut dikarenakan perempuan dengan disabilitas membutuhkan layanan dan fasilitas yang berbeda dibandingkan dengan perempuan tanpa disabilitas.</w:t>
      </w:r>
    </w:p>
    <w:p w14:paraId="4F44509E" w14:textId="77777777" w:rsidR="006E30DE" w:rsidRDefault="006E30DE">
      <w:pPr>
        <w:spacing w:line="360" w:lineRule="auto"/>
        <w:ind w:firstLine="720"/>
        <w:jc w:val="both"/>
        <w:rPr>
          <w:rFonts w:asciiTheme="majorBidi" w:hAnsiTheme="majorBidi" w:cstheme="majorBidi"/>
          <w:sz w:val="24"/>
          <w:szCs w:val="24"/>
        </w:rPr>
      </w:pPr>
    </w:p>
    <w:p w14:paraId="0AD58AA7" w14:textId="77777777" w:rsidR="006E30DE" w:rsidRDefault="00890019">
      <w:pPr>
        <w:rPr>
          <w:rFonts w:asciiTheme="majorBidi" w:hAnsiTheme="majorBidi" w:cstheme="majorBidi"/>
          <w:b/>
          <w:bCs/>
          <w:sz w:val="24"/>
          <w:szCs w:val="24"/>
        </w:rPr>
      </w:pPr>
      <w:r>
        <w:rPr>
          <w:rFonts w:asciiTheme="majorBidi" w:hAnsiTheme="majorBidi" w:cstheme="majorBidi"/>
          <w:b/>
          <w:bCs/>
          <w:sz w:val="24"/>
          <w:szCs w:val="24"/>
        </w:rPr>
        <w:t>Referensi</w:t>
      </w:r>
    </w:p>
    <w:p w14:paraId="3D34E68F" w14:textId="77777777" w:rsidR="006E30DE" w:rsidRDefault="006E30DE">
      <w:pPr>
        <w:rPr>
          <w:rFonts w:asciiTheme="majorBidi" w:hAnsiTheme="majorBidi" w:cstheme="majorBidi"/>
          <w:sz w:val="24"/>
          <w:szCs w:val="24"/>
        </w:rPr>
      </w:pPr>
    </w:p>
    <w:p w14:paraId="317DD723" w14:textId="77777777" w:rsidR="006E30DE" w:rsidRDefault="00890019">
      <w:pPr>
        <w:ind w:left="720" w:hanging="720"/>
        <w:jc w:val="both"/>
        <w:rPr>
          <w:rFonts w:asciiTheme="majorBidi" w:hAnsiTheme="majorBidi" w:cstheme="majorBidi"/>
          <w:sz w:val="24"/>
          <w:szCs w:val="24"/>
        </w:rPr>
      </w:pPr>
      <w:r>
        <w:rPr>
          <w:rFonts w:asciiTheme="majorBidi" w:hAnsiTheme="majorBidi" w:cstheme="majorBidi"/>
          <w:sz w:val="24"/>
          <w:szCs w:val="24"/>
        </w:rPr>
        <w:t xml:space="preserve">Eddyono, Supriyadi Widodo dan Ajeng Gandhini Kamilah. 2015. </w:t>
      </w:r>
      <w:r>
        <w:rPr>
          <w:rFonts w:asciiTheme="majorBidi" w:hAnsiTheme="majorBidi" w:cstheme="majorBidi"/>
          <w:i/>
          <w:iCs/>
          <w:sz w:val="24"/>
          <w:szCs w:val="24"/>
        </w:rPr>
        <w:t xml:space="preserve">Aspek - Aspek Criminal Justice Bagi Penyandang Disabilitas; Pemetaan Keterkaitan Disabilitas dalam:UU No. 18 Tahun 2014 tentang Kesehatan Jiwa, UU No. 11 Tahun 2012 tentang Sistem Peradilan Pidana Anak, RUU Penyandang Disabilitas, Rancangan Kitab Undang-Undang Hukum Pidana, dan Rancangan Kitab Undang-Undang Hukum Acara Pidana. </w:t>
      </w:r>
      <w:r>
        <w:rPr>
          <w:rFonts w:asciiTheme="majorBidi" w:hAnsiTheme="majorBidi" w:cstheme="majorBidi"/>
          <w:sz w:val="24"/>
          <w:szCs w:val="24"/>
        </w:rPr>
        <w:t>Jakarta: Institute for Criminal Justice Reform.</w:t>
      </w:r>
    </w:p>
    <w:p w14:paraId="43B335BA" w14:textId="77777777" w:rsidR="006E30DE" w:rsidRDefault="00890019">
      <w:pPr>
        <w:ind w:left="1080" w:hanging="1080"/>
        <w:jc w:val="both"/>
        <w:rPr>
          <w:rFonts w:asciiTheme="majorBidi" w:hAnsiTheme="majorBidi" w:cstheme="majorBidi"/>
          <w:sz w:val="24"/>
          <w:szCs w:val="24"/>
          <w:lang w:val="id-ID"/>
        </w:rPr>
      </w:pPr>
      <w:r>
        <w:rPr>
          <w:rFonts w:asciiTheme="majorBidi" w:hAnsiTheme="majorBidi" w:cstheme="majorBidi"/>
          <w:sz w:val="24"/>
          <w:szCs w:val="24"/>
        </w:rPr>
        <w:lastRenderedPageBreak/>
        <w:t xml:space="preserve">Farakhiyah, Rachel dan Nurliana Cipta Ashari. 2018. “Peran Lembaga Himpunan Wanita Disabilitas Indonesia (HWDI) bagi Perempuan Disabilitas Sensorik Korban Pelecehan Seksual” dalam </w:t>
      </w:r>
      <w:r>
        <w:rPr>
          <w:rFonts w:asciiTheme="majorBidi" w:hAnsiTheme="majorBidi" w:cstheme="majorBidi"/>
          <w:i/>
          <w:iCs/>
          <w:sz w:val="24"/>
          <w:szCs w:val="24"/>
        </w:rPr>
        <w:t xml:space="preserve">Jurnal Penelitan &amp; PPM. </w:t>
      </w:r>
      <w:r>
        <w:rPr>
          <w:rFonts w:asciiTheme="majorBidi" w:hAnsiTheme="majorBidi" w:cstheme="majorBidi"/>
          <w:sz w:val="24"/>
          <w:szCs w:val="24"/>
        </w:rPr>
        <w:t xml:space="preserve">Bandung: Universitas Pendidikan </w:t>
      </w:r>
      <w:r w:rsidR="00915FC1">
        <w:rPr>
          <w:rFonts w:asciiTheme="majorBidi" w:hAnsiTheme="majorBidi" w:cstheme="majorBidi"/>
          <w:sz w:val="24"/>
          <w:szCs w:val="24"/>
        </w:rPr>
        <w:t>Indonesia</w:t>
      </w:r>
      <w:r w:rsidR="00915FC1">
        <w:rPr>
          <w:rFonts w:asciiTheme="majorBidi" w:hAnsiTheme="majorBidi" w:cstheme="majorBidi"/>
          <w:sz w:val="24"/>
          <w:szCs w:val="24"/>
          <w:lang w:val="id-ID"/>
        </w:rPr>
        <w:t>.</w:t>
      </w:r>
    </w:p>
    <w:p w14:paraId="4D20FC82" w14:textId="77777777" w:rsidR="00915FC1" w:rsidRPr="00915FC1" w:rsidRDefault="00915FC1">
      <w:pPr>
        <w:ind w:left="1080" w:hanging="1080"/>
        <w:jc w:val="both"/>
        <w:rPr>
          <w:rFonts w:ascii="Times New Roman" w:hAnsi="Times New Roman" w:cs="Times New Roman"/>
          <w:sz w:val="24"/>
          <w:szCs w:val="24"/>
          <w:lang w:val="id-ID"/>
        </w:rPr>
      </w:pPr>
      <w:r w:rsidRPr="00915FC1">
        <w:rPr>
          <w:rFonts w:ascii="Times New Roman" w:hAnsi="Times New Roman" w:cs="Times New Roman"/>
          <w:sz w:val="24"/>
          <w:szCs w:val="24"/>
          <w:lang w:val="id-ID"/>
        </w:rPr>
        <w:t xml:space="preserve">Irwanto dkk. 2010. </w:t>
      </w:r>
      <w:r w:rsidRPr="00915FC1">
        <w:rPr>
          <w:rFonts w:ascii="Times New Roman" w:hAnsi="Times New Roman" w:cs="Times New Roman"/>
          <w:sz w:val="24"/>
          <w:szCs w:val="24"/>
        </w:rPr>
        <w:t xml:space="preserve">Analisis </w:t>
      </w:r>
      <w:r>
        <w:rPr>
          <w:rFonts w:ascii="Times New Roman" w:hAnsi="Times New Roman" w:cs="Times New Roman"/>
          <w:sz w:val="24"/>
          <w:szCs w:val="24"/>
        </w:rPr>
        <w:t xml:space="preserve">Situasi Penyandang Disabilitas </w:t>
      </w:r>
      <w:r>
        <w:rPr>
          <w:rFonts w:ascii="Times New Roman" w:hAnsi="Times New Roman" w:cs="Times New Roman"/>
          <w:sz w:val="24"/>
          <w:szCs w:val="24"/>
          <w:lang w:val="id-ID"/>
        </w:rPr>
        <w:t>d</w:t>
      </w:r>
      <w:r w:rsidRPr="00915FC1">
        <w:rPr>
          <w:rFonts w:ascii="Times New Roman" w:hAnsi="Times New Roman" w:cs="Times New Roman"/>
          <w:sz w:val="24"/>
          <w:szCs w:val="24"/>
        </w:rPr>
        <w:t>i Indonesia: Sebuah Desk-Review</w:t>
      </w:r>
      <w:r w:rsidRPr="00915FC1">
        <w:rPr>
          <w:rFonts w:ascii="Times New Roman" w:hAnsi="Times New Roman" w:cs="Times New Roman"/>
          <w:sz w:val="24"/>
          <w:szCs w:val="24"/>
          <w:lang w:val="id-ID"/>
        </w:rPr>
        <w:t>. Jakarta: Pusat Studi Disabilitas Universitas Indonesia</w:t>
      </w:r>
    </w:p>
    <w:p w14:paraId="0583DC33" w14:textId="77777777" w:rsidR="006E30DE" w:rsidRDefault="00890019">
      <w:pPr>
        <w:ind w:left="1080" w:hanging="1080"/>
        <w:jc w:val="both"/>
        <w:rPr>
          <w:rFonts w:asciiTheme="majorBidi" w:hAnsiTheme="majorBidi" w:cstheme="majorBidi"/>
          <w:sz w:val="26"/>
          <w:szCs w:val="26"/>
        </w:rPr>
      </w:pPr>
      <w:r>
        <w:rPr>
          <w:rFonts w:asciiTheme="majorBidi" w:hAnsiTheme="majorBidi" w:cstheme="majorBidi"/>
          <w:sz w:val="24"/>
          <w:szCs w:val="24"/>
        </w:rPr>
        <w:t>Sobsey, D. (1994). Violence and Abuse in The Lives of People with Disabilities. Baltimore : Paul H.. Brookes Publishing Co,dalam Hartwell, Stephanie W., William H. Fisher, and Maryann Davis. "Emerging Adults With Psychiatric Disabilities Involved With the Criminal Justice System." International Journal of Offender Therapy andComparativ Criminology. 4 June 2009</w:t>
      </w:r>
    </w:p>
    <w:p w14:paraId="2EA34341" w14:textId="77777777" w:rsidR="006E30DE" w:rsidRDefault="00890019">
      <w:pPr>
        <w:ind w:left="720" w:hanging="720"/>
        <w:jc w:val="both"/>
        <w:rPr>
          <w:rFonts w:asciiTheme="majorBidi" w:hAnsiTheme="majorBidi" w:cstheme="majorBidi"/>
          <w:sz w:val="26"/>
          <w:szCs w:val="26"/>
        </w:rPr>
      </w:pPr>
      <w:r>
        <w:rPr>
          <w:rFonts w:asciiTheme="majorBidi" w:hAnsiTheme="majorBidi" w:cstheme="majorBidi"/>
          <w:sz w:val="24"/>
          <w:szCs w:val="24"/>
        </w:rPr>
        <w:t>Leigh Ann Davis, “People with Intellectual Disability in the Criminal Justice System: Victims &amp; Suspects” Lihat :http://www.thearc.org/what-we-do/resources/fact-sheets/criminal-justice</w:t>
      </w:r>
    </w:p>
    <w:p w14:paraId="4857ED54" w14:textId="77777777" w:rsidR="006E30DE" w:rsidRDefault="00890019">
      <w:pPr>
        <w:ind w:left="1080" w:hanging="1080"/>
        <w:jc w:val="both"/>
        <w:rPr>
          <w:rFonts w:asciiTheme="majorBidi" w:hAnsiTheme="majorBidi" w:cstheme="majorBidi"/>
          <w:sz w:val="24"/>
          <w:szCs w:val="24"/>
        </w:rPr>
      </w:pPr>
      <w:r>
        <w:rPr>
          <w:rFonts w:asciiTheme="majorBidi" w:hAnsiTheme="majorBidi" w:cstheme="majorBidi"/>
          <w:sz w:val="24"/>
          <w:szCs w:val="24"/>
        </w:rPr>
        <w:t>https://www.liputan6.com/health/read/2189200/pendampingan-disabilitas-mesti-beri-solusi-daripada-charity</w:t>
      </w:r>
    </w:p>
    <w:p w14:paraId="70388BC0" w14:textId="77777777" w:rsidR="006E30DE" w:rsidRDefault="006E30DE">
      <w:pPr>
        <w:ind w:left="720" w:hanging="720"/>
        <w:jc w:val="both"/>
        <w:rPr>
          <w:rFonts w:asciiTheme="majorBidi" w:hAnsiTheme="majorBidi" w:cstheme="majorBidi"/>
          <w:sz w:val="26"/>
          <w:szCs w:val="26"/>
        </w:rPr>
      </w:pPr>
    </w:p>
    <w:sectPr w:rsidR="006E30D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DengXian Light">
    <w:altName w:val="等线 Light"/>
    <w:panose1 w:val="00000000000000000000"/>
    <w:charset w:val="80"/>
    <w:family w:val="roman"/>
    <w:notTrueType/>
    <w:pitch w:val="default"/>
  </w:font>
  <w:font w:name="Calibri Light">
    <w:panose1 w:val="020F0302020204030204"/>
    <w:charset w:val="00"/>
    <w:family w:val="swiss"/>
    <w:pitch w:val="variable"/>
    <w:sig w:usb0="E0002AFF" w:usb1="C000247B" w:usb2="00000009" w:usb3="00000000" w:csb0="000001FF" w:csb1="00000000"/>
  </w:font>
  <w:font w:name="DengXian">
    <w:altName w:val="等线"/>
    <w:panose1 w:val="02010600030101010101"/>
    <w:charset w:val="8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61D34"/>
    <w:rsid w:val="000227F3"/>
    <w:rsid w:val="000809FA"/>
    <w:rsid w:val="00110E4E"/>
    <w:rsid w:val="00133440"/>
    <w:rsid w:val="00181E49"/>
    <w:rsid w:val="001D0C34"/>
    <w:rsid w:val="00230BC7"/>
    <w:rsid w:val="00276D48"/>
    <w:rsid w:val="0028670A"/>
    <w:rsid w:val="00341E36"/>
    <w:rsid w:val="00371EC6"/>
    <w:rsid w:val="003818AC"/>
    <w:rsid w:val="00387CC2"/>
    <w:rsid w:val="003C21B3"/>
    <w:rsid w:val="003C5066"/>
    <w:rsid w:val="003E0798"/>
    <w:rsid w:val="00420485"/>
    <w:rsid w:val="00456DCD"/>
    <w:rsid w:val="004D5EFB"/>
    <w:rsid w:val="00515272"/>
    <w:rsid w:val="005433E3"/>
    <w:rsid w:val="00592D01"/>
    <w:rsid w:val="005D2620"/>
    <w:rsid w:val="00612A7C"/>
    <w:rsid w:val="00693785"/>
    <w:rsid w:val="006A48D6"/>
    <w:rsid w:val="006E30DE"/>
    <w:rsid w:val="00745573"/>
    <w:rsid w:val="007A6049"/>
    <w:rsid w:val="0080048B"/>
    <w:rsid w:val="00816042"/>
    <w:rsid w:val="00837A21"/>
    <w:rsid w:val="0084358B"/>
    <w:rsid w:val="008712CD"/>
    <w:rsid w:val="008822EA"/>
    <w:rsid w:val="00890019"/>
    <w:rsid w:val="008E4C6F"/>
    <w:rsid w:val="00915FC1"/>
    <w:rsid w:val="009A2097"/>
    <w:rsid w:val="009B6748"/>
    <w:rsid w:val="009C04CC"/>
    <w:rsid w:val="009E5187"/>
    <w:rsid w:val="00A021A3"/>
    <w:rsid w:val="00A60A38"/>
    <w:rsid w:val="00AC6D15"/>
    <w:rsid w:val="00AF40C6"/>
    <w:rsid w:val="00B062CF"/>
    <w:rsid w:val="00B1225C"/>
    <w:rsid w:val="00B33FC7"/>
    <w:rsid w:val="00B61935"/>
    <w:rsid w:val="00BE1B4C"/>
    <w:rsid w:val="00C22938"/>
    <w:rsid w:val="00C61D34"/>
    <w:rsid w:val="00C87CD3"/>
    <w:rsid w:val="00D408CD"/>
    <w:rsid w:val="00D9051F"/>
    <w:rsid w:val="00D911DA"/>
    <w:rsid w:val="00E06365"/>
    <w:rsid w:val="00E30AE0"/>
    <w:rsid w:val="00EA643A"/>
    <w:rsid w:val="00ED34B2"/>
    <w:rsid w:val="00EF06C4"/>
    <w:rsid w:val="00EF53BD"/>
    <w:rsid w:val="00F04A1A"/>
    <w:rsid w:val="00F54A18"/>
    <w:rsid w:val="00F65755"/>
    <w:rsid w:val="354918F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F2819C"/>
  <w15:docId w15:val="{ECA9819D-CF2C-4AB9-800B-69D142A1F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id-ID" w:eastAsia="id-ID"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uiPriority w:val="99"/>
    <w:semiHidden/>
    <w:unhideWhenUsed/>
  </w:style>
  <w:style w:type="character" w:styleId="Emphasis">
    <w:name w:val="Emphasis"/>
    <w:basedOn w:val="DefaultParagraphFont"/>
    <w:uiPriority w:val="20"/>
    <w:qFormat/>
    <w:rPr>
      <w:i/>
      <w:iCs/>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915F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5FC1"/>
    <w:rPr>
      <w:rFonts w:ascii="Tahoma" w:hAnsi="Tahoma" w:cs="Tahoma"/>
      <w:sz w:val="16"/>
      <w:szCs w:val="16"/>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497</TotalTime>
  <Pages>5</Pages>
  <Words>1564</Words>
  <Characters>8918</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mukhanif11@gmail.com</dc:creator>
  <cp:lastModifiedBy>Mukhanif yasin yusuf</cp:lastModifiedBy>
  <cp:revision>54</cp:revision>
  <dcterms:created xsi:type="dcterms:W3CDTF">2018-11-01T10:55:00Z</dcterms:created>
  <dcterms:modified xsi:type="dcterms:W3CDTF">2019-06-13T06:47:00Z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1033-10.2.0.7549</vt:lpwstr>
  </property>
</Properties>
</file>